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A" w:rsidRDefault="00D90D4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December 2017</w:t>
      </w:r>
      <w:r w:rsidR="0006181A">
        <w:tab/>
        <w:t>7:150</w:t>
      </w:r>
    </w:p>
    <w:p w:rsidR="0006181A" w:rsidRDefault="0006181A">
      <w:pPr>
        <w:tabs>
          <w:tab w:val="right" w:pos="9000"/>
        </w:tabs>
      </w:pPr>
    </w:p>
    <w:p w:rsidR="0006181A" w:rsidRDefault="0006181A">
      <w:pPr>
        <w:pStyle w:val="Heading1"/>
      </w:pPr>
      <w:r>
        <w:t>Students</w:t>
      </w:r>
    </w:p>
    <w:p w:rsidR="0006181A" w:rsidRDefault="0006181A">
      <w:pPr>
        <w:pStyle w:val="Heading2"/>
        <w:rPr>
          <w:spacing w:val="-2"/>
        </w:rPr>
      </w:pPr>
      <w:r>
        <w:t>Agency and Police Interviews</w:t>
      </w:r>
    </w:p>
    <w:p w:rsidR="00D36148" w:rsidRDefault="00D36148" w:rsidP="00F86EBA">
      <w:pPr>
        <w:pStyle w:val="BodyText"/>
      </w:pPr>
      <w:r w:rsidRPr="00F86EBA">
        <w:t xml:space="preserve">The Superintendent shall </w:t>
      </w:r>
      <w:r w:rsidR="0038500F">
        <w:t xml:space="preserve">develop procedures to </w:t>
      </w:r>
      <w:r w:rsidRPr="00F86EBA">
        <w:t xml:space="preserve">manage requests by agency officials or police officers </w:t>
      </w:r>
      <w:r w:rsidR="0038500F">
        <w:t>to interview students at school. P</w:t>
      </w:r>
      <w:r w:rsidRPr="00F86EBA">
        <w:t xml:space="preserve">rocedures </w:t>
      </w:r>
      <w:r w:rsidR="0038500F">
        <w:t>will</w:t>
      </w:r>
      <w:r w:rsidRPr="00F86EBA">
        <w:t xml:space="preserve">: (1) recognize individual student rights and </w:t>
      </w:r>
      <w:proofErr w:type="gramStart"/>
      <w:r w:rsidRPr="00F86EBA">
        <w:t>privacy,</w:t>
      </w:r>
      <w:proofErr w:type="gramEnd"/>
      <w:r w:rsidRPr="00F86EBA">
        <w:t xml:space="preserve"> (2) minimize potential disruption, (3) foster a cooperative relationship with public agencies and law enforcement,</w:t>
      </w:r>
      <w:r w:rsidR="008F7F5D">
        <w:t xml:space="preserve"> </w:t>
      </w:r>
      <w:r w:rsidRPr="00F86EBA">
        <w:t>and (</w:t>
      </w:r>
      <w:r w:rsidR="008F7F5D">
        <w:t>4</w:t>
      </w:r>
      <w:r w:rsidRPr="00F86EBA">
        <w:t>) comply with State law.</w:t>
      </w:r>
      <w:r>
        <w:t xml:space="preserve"> </w:t>
      </w:r>
    </w:p>
    <w:p w:rsidR="000F167F" w:rsidRDefault="000F167F" w:rsidP="000F167F">
      <w:pPr>
        <w:pStyle w:val="LEGALREF"/>
      </w:pPr>
      <w:r>
        <w:t>LEGAL REF.:</w:t>
      </w:r>
      <w:r>
        <w:tab/>
        <w:t>55 ILCS 80/, Children’s Advocacy Center Act</w:t>
      </w:r>
      <w:r w:rsidR="005545B1">
        <w:t>.</w:t>
      </w:r>
    </w:p>
    <w:p w:rsidR="000F167F" w:rsidRDefault="000F167F" w:rsidP="000F167F">
      <w:pPr>
        <w:pStyle w:val="LEGALREFINDENT"/>
      </w:pPr>
      <w:r>
        <w:t>325 ILCS 5/, Abused and Neglected Child Reporting Act</w:t>
      </w:r>
      <w:r w:rsidR="005545B1">
        <w:t>.</w:t>
      </w:r>
    </w:p>
    <w:p w:rsidR="000F167F" w:rsidRDefault="000F167F" w:rsidP="000F167F">
      <w:pPr>
        <w:pStyle w:val="LEGALREFINDENT"/>
      </w:pPr>
      <w:proofErr w:type="gramStart"/>
      <w:r>
        <w:t xml:space="preserve">720 ILCS 5/31-1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>., Interfe</w:t>
      </w:r>
      <w:r w:rsidR="00A52882">
        <w:t>rence with Public Officers Act.</w:t>
      </w:r>
      <w:proofErr w:type="gramEnd"/>
    </w:p>
    <w:p w:rsidR="000F167F" w:rsidRDefault="000F167F" w:rsidP="000F167F">
      <w:pPr>
        <w:pStyle w:val="LEGALREFINDENT"/>
      </w:pPr>
      <w:proofErr w:type="gramStart"/>
      <w:r>
        <w:t>725 ILCS 120/, Rights of Crime Victims and Witnesses Act.</w:t>
      </w:r>
      <w:proofErr w:type="gramEnd"/>
    </w:p>
    <w:p w:rsidR="0006181A" w:rsidRDefault="0006181A">
      <w:pPr>
        <w:pStyle w:val="CROSSREF"/>
      </w:pPr>
      <w:r>
        <w:t>CROSS REF.:</w:t>
      </w:r>
      <w:r>
        <w:tab/>
        <w:t xml:space="preserve">7:130 (Student Rights and Responsibilities), 7:140 (Search and Seizure), 7:190 (Student </w:t>
      </w:r>
      <w:r w:rsidR="001E26C8" w:rsidRPr="001E26C8">
        <w:t>Behavior</w:t>
      </w:r>
      <w:r>
        <w:t>)</w:t>
      </w:r>
    </w:p>
    <w:p w:rsidR="0006181A" w:rsidRDefault="0006181A">
      <w:pPr>
        <w:pStyle w:val="CROSSREF"/>
      </w:pPr>
      <w:bookmarkStart w:id="0" w:name="adopted"/>
      <w:bookmarkEnd w:id="0"/>
    </w:p>
    <w:sectPr w:rsidR="0006181A" w:rsidSect="001D441F">
      <w:footerReference w:type="default" r:id="rId6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FC" w:rsidRDefault="006944FC">
      <w:r>
        <w:separator/>
      </w:r>
    </w:p>
  </w:endnote>
  <w:endnote w:type="continuationSeparator" w:id="0">
    <w:p w:rsidR="006944FC" w:rsidRDefault="0069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1A" w:rsidRDefault="0006181A">
    <w:pPr>
      <w:pStyle w:val="Footer"/>
      <w:tabs>
        <w:tab w:val="clear" w:pos="4320"/>
        <w:tab w:val="clear" w:pos="8640"/>
        <w:tab w:val="right" w:pos="9000"/>
      </w:tabs>
    </w:pPr>
  </w:p>
  <w:p w:rsidR="0006181A" w:rsidRDefault="0006181A">
    <w:pPr>
      <w:pStyle w:val="Footer"/>
      <w:tabs>
        <w:tab w:val="clear" w:pos="4320"/>
        <w:tab w:val="clear" w:pos="8640"/>
        <w:tab w:val="right" w:pos="9000"/>
      </w:tabs>
    </w:pPr>
    <w:r>
      <w:t>7:150</w:t>
    </w:r>
    <w:r>
      <w:tab/>
      <w:t xml:space="preserve">Page </w:t>
    </w:r>
    <w:fldSimple w:instr=" PAGE  \* MERGEFORMAT ">
      <w:r w:rsidR="00D90D42">
        <w:rPr>
          <w:noProof/>
        </w:rPr>
        <w:t>1</w:t>
      </w:r>
    </w:fldSimple>
    <w:r>
      <w:t xml:space="preserve"> of </w:t>
    </w:r>
    <w:fldSimple w:instr=" SECTIONPAGES  \* MERGEFORMAT ">
      <w:r w:rsidR="00D90D4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FC" w:rsidRDefault="006944FC">
      <w:r>
        <w:separator/>
      </w:r>
    </w:p>
    <w:p w:rsidR="006944FC" w:rsidRDefault="006944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6944FC" w:rsidRDefault="00694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24"/>
    <w:rsid w:val="00010CD2"/>
    <w:rsid w:val="000312A2"/>
    <w:rsid w:val="00046C32"/>
    <w:rsid w:val="0006181A"/>
    <w:rsid w:val="00061959"/>
    <w:rsid w:val="000F167F"/>
    <w:rsid w:val="0010397B"/>
    <w:rsid w:val="001D441F"/>
    <w:rsid w:val="001E26C8"/>
    <w:rsid w:val="00210C6B"/>
    <w:rsid w:val="0021443A"/>
    <w:rsid w:val="00230881"/>
    <w:rsid w:val="0029467B"/>
    <w:rsid w:val="002C16FF"/>
    <w:rsid w:val="003224BF"/>
    <w:rsid w:val="00323FC6"/>
    <w:rsid w:val="00334DF6"/>
    <w:rsid w:val="00381A13"/>
    <w:rsid w:val="0038500F"/>
    <w:rsid w:val="003A1AEE"/>
    <w:rsid w:val="003A6731"/>
    <w:rsid w:val="003B5BCF"/>
    <w:rsid w:val="004356AA"/>
    <w:rsid w:val="004E396A"/>
    <w:rsid w:val="004E3FC7"/>
    <w:rsid w:val="00552B7F"/>
    <w:rsid w:val="005545B1"/>
    <w:rsid w:val="00576021"/>
    <w:rsid w:val="005D6495"/>
    <w:rsid w:val="00627D9B"/>
    <w:rsid w:val="006944FC"/>
    <w:rsid w:val="006B0A3E"/>
    <w:rsid w:val="006C3D0E"/>
    <w:rsid w:val="007053F2"/>
    <w:rsid w:val="00781831"/>
    <w:rsid w:val="007A4F50"/>
    <w:rsid w:val="007D7B9B"/>
    <w:rsid w:val="007F596E"/>
    <w:rsid w:val="00827D8B"/>
    <w:rsid w:val="00834C24"/>
    <w:rsid w:val="008642CF"/>
    <w:rsid w:val="008663CC"/>
    <w:rsid w:val="00870184"/>
    <w:rsid w:val="00894C63"/>
    <w:rsid w:val="008B44E6"/>
    <w:rsid w:val="008C015C"/>
    <w:rsid w:val="008D6501"/>
    <w:rsid w:val="008E7074"/>
    <w:rsid w:val="008F7F5D"/>
    <w:rsid w:val="00914B73"/>
    <w:rsid w:val="00940429"/>
    <w:rsid w:val="00941B8C"/>
    <w:rsid w:val="009801C8"/>
    <w:rsid w:val="00981C87"/>
    <w:rsid w:val="009B050D"/>
    <w:rsid w:val="00A52882"/>
    <w:rsid w:val="00A96EEF"/>
    <w:rsid w:val="00B10534"/>
    <w:rsid w:val="00B261B5"/>
    <w:rsid w:val="00B263AF"/>
    <w:rsid w:val="00BC4947"/>
    <w:rsid w:val="00BD6C71"/>
    <w:rsid w:val="00C27EF3"/>
    <w:rsid w:val="00C618D6"/>
    <w:rsid w:val="00C7537E"/>
    <w:rsid w:val="00C85818"/>
    <w:rsid w:val="00D36148"/>
    <w:rsid w:val="00D44460"/>
    <w:rsid w:val="00D607EA"/>
    <w:rsid w:val="00D838B7"/>
    <w:rsid w:val="00D90D42"/>
    <w:rsid w:val="00DD6489"/>
    <w:rsid w:val="00E17240"/>
    <w:rsid w:val="00E34DBE"/>
    <w:rsid w:val="00E36549"/>
    <w:rsid w:val="00EA3801"/>
    <w:rsid w:val="00EF0742"/>
    <w:rsid w:val="00EF5079"/>
    <w:rsid w:val="00F42F53"/>
    <w:rsid w:val="00F63AE9"/>
    <w:rsid w:val="00F86EBA"/>
    <w:rsid w:val="00FA089E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90D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81A13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81A13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81A13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81A13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81A13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81A13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81A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1A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1A1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90D4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0D42"/>
  </w:style>
  <w:style w:type="paragraph" w:styleId="BodyText">
    <w:name w:val="Body Text"/>
    <w:basedOn w:val="Normal"/>
    <w:link w:val="BodyTextChar"/>
    <w:rsid w:val="00381A13"/>
    <w:pPr>
      <w:spacing w:before="60" w:after="60"/>
      <w:jc w:val="both"/>
    </w:pPr>
  </w:style>
  <w:style w:type="paragraph" w:customStyle="1" w:styleId="LEGALREF">
    <w:name w:val="LEGAL REF"/>
    <w:basedOn w:val="Normal"/>
    <w:rsid w:val="00381A13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81A13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81A13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381A13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381A13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381A13"/>
    <w:pPr>
      <w:ind w:left="994" w:hanging="274"/>
    </w:pPr>
  </w:style>
  <w:style w:type="paragraph" w:styleId="FootnoteText">
    <w:name w:val="footnote text"/>
    <w:basedOn w:val="Normal"/>
    <w:semiHidden/>
    <w:rsid w:val="00381A13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81A13"/>
    <w:pPr>
      <w:ind w:left="720" w:right="720"/>
    </w:pPr>
  </w:style>
  <w:style w:type="paragraph" w:customStyle="1" w:styleId="FootnoteNumberedIndent">
    <w:name w:val="Footnote Numbered Indent"/>
    <w:basedOn w:val="FootnoteText"/>
    <w:rsid w:val="00381A13"/>
    <w:pPr>
      <w:ind w:left="1080" w:hanging="360"/>
    </w:pPr>
  </w:style>
  <w:style w:type="paragraph" w:customStyle="1" w:styleId="FootnoteQuote">
    <w:name w:val="Footnote Quote"/>
    <w:basedOn w:val="FootnoteText"/>
    <w:rsid w:val="00381A13"/>
    <w:pPr>
      <w:ind w:left="1080" w:right="1080" w:firstLine="0"/>
    </w:pPr>
  </w:style>
  <w:style w:type="character" w:styleId="FootnoteReference">
    <w:name w:val="footnote reference"/>
    <w:semiHidden/>
    <w:rsid w:val="00381A13"/>
    <w:rPr>
      <w:b/>
      <w:position w:val="2"/>
      <w:sz w:val="18"/>
    </w:rPr>
  </w:style>
  <w:style w:type="character" w:customStyle="1" w:styleId="HIDDEN">
    <w:name w:val="HIDDEN"/>
    <w:rsid w:val="00381A13"/>
    <w:rPr>
      <w:vanish/>
      <w:vertAlign w:val="baseline"/>
    </w:rPr>
  </w:style>
  <w:style w:type="paragraph" w:styleId="List">
    <w:name w:val="List"/>
    <w:basedOn w:val="Normal"/>
    <w:rsid w:val="00381A13"/>
    <w:pPr>
      <w:ind w:left="360" w:hanging="360"/>
      <w:jc w:val="both"/>
    </w:pPr>
  </w:style>
  <w:style w:type="paragraph" w:styleId="List2">
    <w:name w:val="List 2"/>
    <w:basedOn w:val="Normal"/>
    <w:rsid w:val="00381A13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381A13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81A13"/>
    <w:pPr>
      <w:ind w:left="1080" w:hanging="360"/>
      <w:jc w:val="both"/>
    </w:pPr>
  </w:style>
  <w:style w:type="paragraph" w:styleId="ListBullet">
    <w:name w:val="List Bullet"/>
    <w:basedOn w:val="Normal"/>
    <w:rsid w:val="00381A13"/>
    <w:pPr>
      <w:ind w:left="360" w:hanging="360"/>
      <w:jc w:val="both"/>
    </w:pPr>
  </w:style>
  <w:style w:type="paragraph" w:styleId="ListBullet2">
    <w:name w:val="List Bullet 2"/>
    <w:basedOn w:val="Normal"/>
    <w:rsid w:val="00381A13"/>
    <w:pPr>
      <w:ind w:left="720" w:hanging="360"/>
      <w:jc w:val="both"/>
    </w:pPr>
  </w:style>
  <w:style w:type="paragraph" w:styleId="ListBullet3">
    <w:name w:val="List Bullet 3"/>
    <w:basedOn w:val="Normal"/>
    <w:rsid w:val="00381A13"/>
    <w:pPr>
      <w:ind w:left="1080" w:hanging="360"/>
      <w:jc w:val="both"/>
    </w:pPr>
  </w:style>
  <w:style w:type="paragraph" w:styleId="ListBullet4">
    <w:name w:val="List Bullet 4"/>
    <w:basedOn w:val="Normal"/>
    <w:rsid w:val="00381A13"/>
    <w:pPr>
      <w:ind w:left="1440" w:hanging="360"/>
      <w:jc w:val="both"/>
    </w:pPr>
  </w:style>
  <w:style w:type="paragraph" w:styleId="ListNumber">
    <w:name w:val="List Number"/>
    <w:basedOn w:val="Normal"/>
    <w:rsid w:val="00381A13"/>
    <w:pPr>
      <w:ind w:left="360" w:hanging="360"/>
      <w:jc w:val="both"/>
    </w:pPr>
  </w:style>
  <w:style w:type="paragraph" w:styleId="ListNumber2">
    <w:name w:val="List Number 2"/>
    <w:basedOn w:val="Normal"/>
    <w:rsid w:val="00381A13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81A13"/>
    <w:pPr>
      <w:spacing w:before="60" w:after="60"/>
    </w:pPr>
  </w:style>
  <w:style w:type="paragraph" w:customStyle="1" w:styleId="SUBHEADING">
    <w:name w:val="SUBHEADING"/>
    <w:basedOn w:val="Normal"/>
    <w:next w:val="BodyText"/>
    <w:rsid w:val="00381A13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81A13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381A13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381A13"/>
    <w:pPr>
      <w:ind w:left="2160" w:hanging="1080"/>
    </w:pPr>
  </w:style>
  <w:style w:type="paragraph" w:customStyle="1" w:styleId="TOCHeading2">
    <w:name w:val="TOC Heading 2"/>
    <w:basedOn w:val="TOCHeading"/>
    <w:rsid w:val="00381A13"/>
    <w:pPr>
      <w:spacing w:after="360"/>
    </w:pPr>
  </w:style>
  <w:style w:type="paragraph" w:styleId="BodyText2">
    <w:name w:val="Body Text 2"/>
    <w:basedOn w:val="Normal"/>
    <w:rsid w:val="001D441F"/>
    <w:pPr>
      <w:spacing w:before="60" w:after="60"/>
      <w:ind w:left="360"/>
      <w:jc w:val="both"/>
    </w:pPr>
  </w:style>
  <w:style w:type="paragraph" w:styleId="Header">
    <w:name w:val="header"/>
    <w:basedOn w:val="Normal"/>
    <w:rsid w:val="001D441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81A13"/>
    <w:pPr>
      <w:spacing w:after="120"/>
      <w:ind w:left="1440" w:right="1440"/>
    </w:pPr>
  </w:style>
  <w:style w:type="paragraph" w:styleId="BodyTextIndent2">
    <w:name w:val="Body Text Indent 2"/>
    <w:basedOn w:val="Normal"/>
    <w:rsid w:val="001D441F"/>
    <w:pPr>
      <w:ind w:left="1800" w:hanging="360"/>
      <w:jc w:val="both"/>
    </w:pPr>
  </w:style>
  <w:style w:type="paragraph" w:styleId="BodyTextIndent3">
    <w:name w:val="Body Text Indent 3"/>
    <w:basedOn w:val="Normal"/>
    <w:rsid w:val="001D441F"/>
    <w:pPr>
      <w:ind w:left="1080" w:hanging="360"/>
    </w:pPr>
  </w:style>
  <w:style w:type="paragraph" w:styleId="Footer">
    <w:name w:val="footer"/>
    <w:basedOn w:val="Normal"/>
    <w:rsid w:val="001D441F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381A13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381A13"/>
  </w:style>
  <w:style w:type="paragraph" w:customStyle="1" w:styleId="centeritalics">
    <w:name w:val="centeritalics"/>
    <w:basedOn w:val="BodyTextIndent"/>
    <w:rsid w:val="00381A13"/>
    <w:pPr>
      <w:jc w:val="center"/>
    </w:pPr>
    <w:rPr>
      <w:i/>
    </w:rPr>
  </w:style>
  <w:style w:type="character" w:customStyle="1" w:styleId="BodyTextChar">
    <w:name w:val="Body Text Char"/>
    <w:link w:val="BodyText"/>
    <w:rsid w:val="00D36148"/>
    <w:rPr>
      <w:kern w:val="28"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0F167F"/>
    <w:rPr>
      <w:rFonts w:ascii="Tahoma" w:hAnsi="Tahoma" w:cs="Tahoma"/>
      <w:sz w:val="16"/>
      <w:szCs w:val="16"/>
    </w:rPr>
  </w:style>
  <w:style w:type="character" w:styleId="Hyperlink">
    <w:name w:val="Hyperlink"/>
    <w:rsid w:val="009801C8"/>
    <w:rPr>
      <w:color w:val="0000FF"/>
      <w:u w:val="single"/>
    </w:rPr>
  </w:style>
  <w:style w:type="character" w:styleId="FollowedHyperlink">
    <w:name w:val="FollowedHyperlink"/>
    <w:rsid w:val="004356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2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http://www.aclu.org/racial-justice/policing-schools-developing-governance-document-school-resource-officers-k-12-schools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http://www.iasb.com/law/ICSAGuidelinesforInterviewsofStudents2015.pdf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2016-07-05T13:39:00Z</dcterms:created>
  <dcterms:modified xsi:type="dcterms:W3CDTF">2018-01-08T18:22:00Z</dcterms:modified>
</cp:coreProperties>
</file>